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乐山市公安局2019年随机抽查结果信息公示表（下半年）</w:t>
      </w:r>
    </w:p>
    <w:p>
      <w:bookmarkStart w:id="0" w:name="_GoBack"/>
      <w:bookmarkEnd w:id="0"/>
    </w:p>
    <w:tbl>
      <w:tblPr>
        <w:tblStyle w:val="3"/>
        <w:tblW w:w="1474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7"/>
        <w:gridCol w:w="1432"/>
        <w:gridCol w:w="1134"/>
        <w:gridCol w:w="1418"/>
        <w:gridCol w:w="1275"/>
        <w:gridCol w:w="2410"/>
        <w:gridCol w:w="5103"/>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7" w:type="dxa"/>
          </w:tcPr>
          <w:p>
            <w:pPr>
              <w:rPr>
                <w:sz w:val="28"/>
                <w:szCs w:val="28"/>
              </w:rPr>
            </w:pPr>
            <w:r>
              <w:rPr>
                <w:rFonts w:hint="eastAsia"/>
                <w:sz w:val="28"/>
                <w:szCs w:val="28"/>
              </w:rPr>
              <w:t>序号</w:t>
            </w:r>
          </w:p>
        </w:tc>
        <w:tc>
          <w:tcPr>
            <w:tcW w:w="1432" w:type="dxa"/>
          </w:tcPr>
          <w:p>
            <w:pPr>
              <w:rPr>
                <w:sz w:val="28"/>
                <w:szCs w:val="28"/>
              </w:rPr>
            </w:pPr>
            <w:r>
              <w:rPr>
                <w:rFonts w:hint="eastAsia"/>
                <w:sz w:val="28"/>
                <w:szCs w:val="28"/>
              </w:rPr>
              <w:t>抽查事项名称</w:t>
            </w:r>
          </w:p>
        </w:tc>
        <w:tc>
          <w:tcPr>
            <w:tcW w:w="1134" w:type="dxa"/>
          </w:tcPr>
          <w:p>
            <w:pPr>
              <w:rPr>
                <w:sz w:val="28"/>
                <w:szCs w:val="28"/>
              </w:rPr>
            </w:pPr>
            <w:r>
              <w:rPr>
                <w:rFonts w:hint="eastAsia"/>
                <w:sz w:val="28"/>
                <w:szCs w:val="28"/>
              </w:rPr>
              <w:t>抽查对象</w:t>
            </w:r>
          </w:p>
        </w:tc>
        <w:tc>
          <w:tcPr>
            <w:tcW w:w="1418" w:type="dxa"/>
          </w:tcPr>
          <w:p>
            <w:pPr>
              <w:rPr>
                <w:sz w:val="28"/>
                <w:szCs w:val="28"/>
              </w:rPr>
            </w:pPr>
            <w:r>
              <w:rPr>
                <w:rFonts w:hint="eastAsia"/>
                <w:sz w:val="28"/>
                <w:szCs w:val="28"/>
              </w:rPr>
              <w:t>抽查时间</w:t>
            </w:r>
          </w:p>
        </w:tc>
        <w:tc>
          <w:tcPr>
            <w:tcW w:w="1275" w:type="dxa"/>
          </w:tcPr>
          <w:p>
            <w:pPr>
              <w:rPr>
                <w:sz w:val="28"/>
                <w:szCs w:val="28"/>
              </w:rPr>
            </w:pPr>
            <w:r>
              <w:rPr>
                <w:rFonts w:hint="eastAsia"/>
                <w:sz w:val="28"/>
                <w:szCs w:val="28"/>
              </w:rPr>
              <w:t>抽查人员</w:t>
            </w:r>
          </w:p>
        </w:tc>
        <w:tc>
          <w:tcPr>
            <w:tcW w:w="2410" w:type="dxa"/>
          </w:tcPr>
          <w:p>
            <w:pPr>
              <w:rPr>
                <w:sz w:val="28"/>
                <w:szCs w:val="28"/>
              </w:rPr>
            </w:pPr>
            <w:r>
              <w:rPr>
                <w:rFonts w:hint="eastAsia"/>
                <w:sz w:val="28"/>
                <w:szCs w:val="28"/>
              </w:rPr>
              <w:t>抽查情况</w:t>
            </w:r>
          </w:p>
        </w:tc>
        <w:tc>
          <w:tcPr>
            <w:tcW w:w="5103" w:type="dxa"/>
          </w:tcPr>
          <w:p>
            <w:pPr>
              <w:rPr>
                <w:sz w:val="28"/>
                <w:szCs w:val="28"/>
              </w:rPr>
            </w:pPr>
            <w:r>
              <w:rPr>
                <w:rFonts w:hint="eastAsia"/>
                <w:sz w:val="28"/>
                <w:szCs w:val="28"/>
              </w:rPr>
              <w:t>抽查结果</w:t>
            </w:r>
          </w:p>
        </w:tc>
        <w:tc>
          <w:tcPr>
            <w:tcW w:w="1134" w:type="dxa"/>
          </w:tcPr>
          <w:p>
            <w:pPr>
              <w:rPr>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7" w:type="dxa"/>
          </w:tcPr>
          <w:p>
            <w:pPr>
              <w:rPr>
                <w:sz w:val="28"/>
                <w:szCs w:val="28"/>
              </w:rPr>
            </w:pPr>
          </w:p>
        </w:tc>
        <w:tc>
          <w:tcPr>
            <w:tcW w:w="1432" w:type="dxa"/>
          </w:tcPr>
          <w:p>
            <w:pPr>
              <w:rPr>
                <w:sz w:val="28"/>
                <w:szCs w:val="28"/>
              </w:rPr>
            </w:pPr>
            <w:r>
              <w:rPr>
                <w:rFonts w:hint="eastAsia" w:ascii="仿宋_GB2312" w:eastAsia="仿宋_GB2312"/>
                <w:sz w:val="24"/>
                <w:szCs w:val="24"/>
              </w:rPr>
              <w:t>对民用爆炸物品公共安全和民用爆炸物品购买、运输、爆破作业的安全进行检查</w:t>
            </w:r>
          </w:p>
        </w:tc>
        <w:tc>
          <w:tcPr>
            <w:tcW w:w="1134" w:type="dxa"/>
          </w:tcPr>
          <w:p>
            <w:pPr>
              <w:rPr>
                <w:rFonts w:ascii="仿宋_GB2312" w:eastAsia="仿宋_GB2312"/>
                <w:sz w:val="24"/>
                <w:szCs w:val="24"/>
              </w:rPr>
            </w:pPr>
            <w:r>
              <w:rPr>
                <w:rFonts w:hint="eastAsia" w:ascii="仿宋_GB2312" w:eastAsia="仿宋_GB2312"/>
                <w:sz w:val="24"/>
                <w:szCs w:val="24"/>
              </w:rPr>
              <w:t>四川和邦投资集团犍为桅杆坝煤矿</w:t>
            </w:r>
          </w:p>
        </w:tc>
        <w:tc>
          <w:tcPr>
            <w:tcW w:w="1418" w:type="dxa"/>
          </w:tcPr>
          <w:p>
            <w:pPr>
              <w:rPr>
                <w:rFonts w:ascii="仿宋_GB2312" w:eastAsia="仿宋_GB2312"/>
                <w:sz w:val="24"/>
                <w:szCs w:val="24"/>
              </w:rPr>
            </w:pPr>
            <w:r>
              <w:rPr>
                <w:rFonts w:hint="eastAsia" w:ascii="仿宋_GB2312" w:eastAsia="仿宋_GB2312"/>
                <w:sz w:val="24"/>
                <w:szCs w:val="24"/>
              </w:rPr>
              <w:t>2019年11月4日</w:t>
            </w:r>
          </w:p>
        </w:tc>
        <w:tc>
          <w:tcPr>
            <w:tcW w:w="1275" w:type="dxa"/>
          </w:tcPr>
          <w:p>
            <w:pPr>
              <w:rPr>
                <w:rFonts w:ascii="仿宋_GB2312" w:eastAsia="仿宋_GB2312"/>
                <w:sz w:val="24"/>
                <w:szCs w:val="24"/>
              </w:rPr>
            </w:pPr>
            <w:r>
              <w:rPr>
                <w:rFonts w:hint="eastAsia" w:ascii="仿宋_GB2312" w:eastAsia="仿宋_GB2312"/>
                <w:sz w:val="24"/>
                <w:szCs w:val="24"/>
              </w:rPr>
              <w:t>李勇、姜南</w:t>
            </w:r>
          </w:p>
        </w:tc>
        <w:tc>
          <w:tcPr>
            <w:tcW w:w="2410" w:type="dxa"/>
          </w:tcPr>
          <w:p>
            <w:pPr>
              <w:rPr>
                <w:sz w:val="24"/>
                <w:szCs w:val="24"/>
              </w:rPr>
            </w:pPr>
            <w:r>
              <w:rPr>
                <w:rFonts w:hint="eastAsia" w:ascii="仿宋_GB2312" w:eastAsia="仿宋_GB2312"/>
                <w:sz w:val="24"/>
                <w:szCs w:val="24"/>
              </w:rPr>
              <w:t>对单位民用爆炸物品安全管理、民爆物品储存库条件、实体防范、内外部安全距离、人防、技防等措施进行现场检查</w:t>
            </w:r>
          </w:p>
        </w:tc>
        <w:tc>
          <w:tcPr>
            <w:tcW w:w="5103" w:type="dxa"/>
          </w:tcPr>
          <w:p>
            <w:pPr>
              <w:rPr>
                <w:rFonts w:ascii="仿宋_GB2312" w:eastAsia="仿宋_GB2312"/>
                <w:sz w:val="24"/>
                <w:szCs w:val="24"/>
              </w:rPr>
            </w:pPr>
            <w:r>
              <w:rPr>
                <w:rFonts w:hint="eastAsia" w:ascii="仿宋_GB2312" w:eastAsia="仿宋_GB2312"/>
                <w:sz w:val="24"/>
                <w:szCs w:val="24"/>
              </w:rPr>
              <w:t>检查发现四川和邦投资集团下属两个公司民用爆炸物品储存库分别在同一库区，影响储存库安全评价合格等问题，在现场进行现场研究。通过现场提询安全评价师、向上级公安机关回报，向企业提出针对性整改意见和方案，从实际出发关更加规范企业民用爆炸物品安全管理，确保安全。</w:t>
            </w:r>
          </w:p>
        </w:tc>
        <w:tc>
          <w:tcPr>
            <w:tcW w:w="1134" w:type="dxa"/>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37" w:type="dxa"/>
          </w:tcPr>
          <w:p>
            <w:pPr>
              <w:rPr>
                <w:sz w:val="28"/>
                <w:szCs w:val="28"/>
              </w:rPr>
            </w:pPr>
          </w:p>
        </w:tc>
        <w:tc>
          <w:tcPr>
            <w:tcW w:w="1432" w:type="dxa"/>
          </w:tcPr>
          <w:p>
            <w:pPr>
              <w:rPr>
                <w:rFonts w:ascii="仿宋_GB2312" w:eastAsia="仿宋_GB2312"/>
                <w:sz w:val="24"/>
                <w:szCs w:val="24"/>
              </w:rPr>
            </w:pPr>
            <w:r>
              <w:rPr>
                <w:rFonts w:hint="eastAsia" w:ascii="仿宋_GB2312" w:eastAsia="仿宋_GB2312"/>
                <w:sz w:val="24"/>
                <w:szCs w:val="24"/>
              </w:rPr>
              <w:t>对互联网上网服务营业场所经营单位的信息网络安全、治安及消防安全进行监督管理；对辖区内互联网服务提供者和联网使用单位安全保护技术措施的落实情况进行指导、监督和检查</w:t>
            </w:r>
          </w:p>
        </w:tc>
        <w:tc>
          <w:tcPr>
            <w:tcW w:w="1134" w:type="dxa"/>
          </w:tcPr>
          <w:p>
            <w:pPr>
              <w:rPr>
                <w:rFonts w:ascii="仿宋_GB2312" w:eastAsia="仿宋_GB2312"/>
                <w:sz w:val="24"/>
                <w:szCs w:val="24"/>
              </w:rPr>
            </w:pPr>
            <w:r>
              <w:rPr>
                <w:rFonts w:hint="eastAsia" w:ascii="仿宋_GB2312" w:eastAsia="仿宋_GB2312"/>
                <w:sz w:val="24"/>
                <w:szCs w:val="24"/>
              </w:rPr>
              <w:t>市中区</w:t>
            </w:r>
            <w:r>
              <w:rPr>
                <w:rFonts w:hint="eastAsia" w:ascii="仿宋_GB2312" w:hAnsi="Calibri" w:eastAsia="仿宋_GB2312" w:cs="Times New Roman"/>
                <w:sz w:val="24"/>
                <w:szCs w:val="24"/>
              </w:rPr>
              <w:t>新嘉州数码港网吧</w:t>
            </w:r>
          </w:p>
        </w:tc>
        <w:tc>
          <w:tcPr>
            <w:tcW w:w="1418" w:type="dxa"/>
          </w:tcPr>
          <w:p>
            <w:pPr>
              <w:rPr>
                <w:rFonts w:ascii="仿宋_GB2312" w:eastAsia="仿宋_GB2312"/>
                <w:sz w:val="24"/>
                <w:szCs w:val="24"/>
              </w:rPr>
            </w:pPr>
            <w:r>
              <w:rPr>
                <w:rFonts w:hint="eastAsia" w:ascii="仿宋_GB2312" w:eastAsia="仿宋_GB2312"/>
                <w:sz w:val="24"/>
                <w:szCs w:val="24"/>
              </w:rPr>
              <w:t>2019年9月19日</w:t>
            </w:r>
          </w:p>
        </w:tc>
        <w:tc>
          <w:tcPr>
            <w:tcW w:w="1275" w:type="dxa"/>
          </w:tcPr>
          <w:p>
            <w:pPr>
              <w:rPr>
                <w:rFonts w:ascii="仿宋_GB2312" w:eastAsia="仿宋_GB2312"/>
                <w:sz w:val="24"/>
                <w:szCs w:val="24"/>
              </w:rPr>
            </w:pPr>
            <w:r>
              <w:rPr>
                <w:rFonts w:hint="eastAsia" w:ascii="仿宋_GB2312" w:eastAsia="仿宋_GB2312"/>
                <w:sz w:val="24"/>
                <w:szCs w:val="24"/>
              </w:rPr>
              <w:t>袁磊、黄小华</w:t>
            </w:r>
          </w:p>
        </w:tc>
        <w:tc>
          <w:tcPr>
            <w:tcW w:w="2410" w:type="dxa"/>
          </w:tcPr>
          <w:p>
            <w:pPr>
              <w:rPr>
                <w:sz w:val="28"/>
                <w:szCs w:val="28"/>
              </w:rPr>
            </w:pPr>
            <w:r>
              <w:rPr>
                <w:rFonts w:hint="eastAsia" w:ascii="仿宋_GB2312" w:eastAsia="仿宋_GB2312"/>
                <w:sz w:val="24"/>
                <w:szCs w:val="24"/>
              </w:rPr>
              <w:t>1、变更名称、住所、法定代表人或者主要负责人、注册资本、网络地址或终止经营活动未办理有关手续或者备案；2、是否向上网消费者提供的计算机未通过局域网的方式接入互联网；3、是否按照规定核对、登记上网消费者的有效身份证件或者记录有关上网信息；4、是否建立场内巡查制度</w:t>
            </w:r>
          </w:p>
        </w:tc>
        <w:tc>
          <w:tcPr>
            <w:tcW w:w="5103" w:type="dxa"/>
          </w:tcPr>
          <w:p>
            <w:pPr>
              <w:rPr>
                <w:sz w:val="28"/>
                <w:szCs w:val="28"/>
              </w:rPr>
            </w:pPr>
            <w:r>
              <w:rPr>
                <w:rFonts w:hint="eastAsia" w:ascii="仿宋_GB2312" w:eastAsia="仿宋_GB2312"/>
                <w:sz w:val="24"/>
                <w:szCs w:val="24"/>
              </w:rPr>
              <w:t>未发现有违法或违反规定的情况</w:t>
            </w:r>
          </w:p>
        </w:tc>
        <w:tc>
          <w:tcPr>
            <w:tcW w:w="1134" w:type="dxa"/>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7" w:hRule="atLeast"/>
        </w:trPr>
        <w:tc>
          <w:tcPr>
            <w:tcW w:w="837" w:type="dxa"/>
            <w:tcBorders>
              <w:bottom w:val="single" w:color="auto" w:sz="4" w:space="0"/>
            </w:tcBorders>
          </w:tcPr>
          <w:p>
            <w:pPr>
              <w:rPr>
                <w:sz w:val="28"/>
                <w:szCs w:val="28"/>
              </w:rPr>
            </w:pPr>
          </w:p>
        </w:tc>
        <w:tc>
          <w:tcPr>
            <w:tcW w:w="1432" w:type="dxa"/>
            <w:tcBorders>
              <w:bottom w:val="single" w:color="auto" w:sz="4" w:space="0"/>
            </w:tcBorders>
          </w:tcPr>
          <w:p>
            <w:pPr>
              <w:rPr>
                <w:sz w:val="28"/>
                <w:szCs w:val="28"/>
              </w:rPr>
            </w:pPr>
            <w:r>
              <w:rPr>
                <w:rFonts w:hint="eastAsia" w:ascii="仿宋_GB2312" w:eastAsia="仿宋_GB2312"/>
                <w:sz w:val="24"/>
                <w:szCs w:val="24"/>
              </w:rPr>
              <w:t>对互联网上网服务营业场所经营单位的信息网络安全、治安及消防安全进行监督管理；对辖区内互联网服务提供者和联网使用单位安全保护技术措施的落实情况进行指导、监督和检查</w:t>
            </w:r>
          </w:p>
        </w:tc>
        <w:tc>
          <w:tcPr>
            <w:tcW w:w="1134" w:type="dxa"/>
            <w:tcBorders>
              <w:bottom w:val="single" w:color="auto" w:sz="4" w:space="0"/>
            </w:tcBorders>
          </w:tcPr>
          <w:p>
            <w:pPr>
              <w:rPr>
                <w:sz w:val="28"/>
                <w:szCs w:val="28"/>
              </w:rPr>
            </w:pPr>
            <w:r>
              <w:rPr>
                <w:rFonts w:hint="eastAsia" w:ascii="仿宋_GB2312" w:eastAsia="仿宋_GB2312"/>
                <w:sz w:val="24"/>
                <w:szCs w:val="24"/>
              </w:rPr>
              <w:t>市中区</w:t>
            </w:r>
            <w:r>
              <w:rPr>
                <w:rFonts w:hint="eastAsia" w:ascii="仿宋_GB2312" w:hAnsi="Calibri" w:eastAsia="仿宋_GB2312" w:cs="Times New Roman"/>
                <w:sz w:val="24"/>
                <w:szCs w:val="24"/>
              </w:rPr>
              <w:t>特洛伊网吧</w:t>
            </w:r>
          </w:p>
        </w:tc>
        <w:tc>
          <w:tcPr>
            <w:tcW w:w="1418" w:type="dxa"/>
            <w:tcBorders>
              <w:bottom w:val="single" w:color="auto" w:sz="4" w:space="0"/>
            </w:tcBorders>
          </w:tcPr>
          <w:p>
            <w:pPr>
              <w:rPr>
                <w:sz w:val="28"/>
                <w:szCs w:val="28"/>
              </w:rPr>
            </w:pPr>
            <w:r>
              <w:rPr>
                <w:rFonts w:hint="eastAsia" w:ascii="仿宋_GB2312" w:eastAsia="仿宋_GB2312"/>
                <w:sz w:val="24"/>
                <w:szCs w:val="24"/>
              </w:rPr>
              <w:t>2019年7月29日</w:t>
            </w:r>
          </w:p>
        </w:tc>
        <w:tc>
          <w:tcPr>
            <w:tcW w:w="1275" w:type="dxa"/>
            <w:tcBorders>
              <w:bottom w:val="single" w:color="auto" w:sz="4" w:space="0"/>
            </w:tcBorders>
          </w:tcPr>
          <w:p>
            <w:pPr>
              <w:rPr>
                <w:rFonts w:ascii="仿宋_GB2312" w:eastAsia="仿宋_GB2312"/>
                <w:sz w:val="24"/>
                <w:szCs w:val="24"/>
              </w:rPr>
            </w:pPr>
            <w:r>
              <w:rPr>
                <w:rFonts w:hint="eastAsia" w:ascii="仿宋_GB2312" w:eastAsia="仿宋_GB2312"/>
                <w:sz w:val="24"/>
                <w:szCs w:val="24"/>
              </w:rPr>
              <w:t>阳艳、张宝艺</w:t>
            </w:r>
          </w:p>
        </w:tc>
        <w:tc>
          <w:tcPr>
            <w:tcW w:w="2410" w:type="dxa"/>
            <w:tcBorders>
              <w:bottom w:val="single" w:color="auto" w:sz="4" w:space="0"/>
            </w:tcBorders>
          </w:tcPr>
          <w:p>
            <w:pPr>
              <w:rPr>
                <w:sz w:val="28"/>
                <w:szCs w:val="28"/>
              </w:rPr>
            </w:pPr>
            <w:r>
              <w:rPr>
                <w:rFonts w:hint="eastAsia" w:ascii="仿宋_GB2312" w:eastAsia="仿宋_GB2312"/>
                <w:sz w:val="24"/>
                <w:szCs w:val="24"/>
              </w:rPr>
              <w:t>1、变更名称、住所、法定代表人或者主要负责人、注册资本、网络地址或终止经营活动未办理有关手续或者备案；2、是否向上网消费者提供的计算机未通过局域网的方式接入互联网；3、是否按照规定核对、登记上网消费者的有效身份证件或者记录有关上网信息；4、是否建立场内巡查制度</w:t>
            </w:r>
          </w:p>
        </w:tc>
        <w:tc>
          <w:tcPr>
            <w:tcW w:w="5103" w:type="dxa"/>
            <w:tcBorders>
              <w:bottom w:val="single" w:color="auto" w:sz="4" w:space="0"/>
            </w:tcBorders>
          </w:tcPr>
          <w:p>
            <w:pPr>
              <w:rPr>
                <w:sz w:val="28"/>
                <w:szCs w:val="28"/>
              </w:rPr>
            </w:pPr>
            <w:r>
              <w:rPr>
                <w:rFonts w:hint="eastAsia" w:ascii="仿宋_GB2312" w:eastAsia="仿宋_GB2312"/>
                <w:sz w:val="24"/>
                <w:szCs w:val="24"/>
              </w:rPr>
              <w:t>未发现有违法或违反规定的情况</w:t>
            </w:r>
          </w:p>
        </w:tc>
        <w:tc>
          <w:tcPr>
            <w:tcW w:w="1134" w:type="dxa"/>
            <w:tcBorders>
              <w:bottom w:val="single" w:color="auto" w:sz="4" w:space="0"/>
            </w:tcBorders>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2" w:hRule="atLeast"/>
        </w:trPr>
        <w:tc>
          <w:tcPr>
            <w:tcW w:w="837" w:type="dxa"/>
            <w:tcBorders>
              <w:top w:val="single" w:color="auto" w:sz="4" w:space="0"/>
              <w:bottom w:val="single" w:color="auto" w:sz="4" w:space="0"/>
            </w:tcBorders>
          </w:tcPr>
          <w:p>
            <w:pPr>
              <w:rPr>
                <w:sz w:val="28"/>
                <w:szCs w:val="28"/>
              </w:rPr>
            </w:pPr>
          </w:p>
        </w:tc>
        <w:tc>
          <w:tcPr>
            <w:tcW w:w="1432"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对典当业进行治安管理检查</w:t>
            </w:r>
          </w:p>
        </w:tc>
        <w:tc>
          <w:tcPr>
            <w:tcW w:w="1134"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乐山恒丰典当有限责任公司</w:t>
            </w:r>
          </w:p>
        </w:tc>
        <w:tc>
          <w:tcPr>
            <w:tcW w:w="1418"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2019年8月13日</w:t>
            </w:r>
          </w:p>
        </w:tc>
        <w:tc>
          <w:tcPr>
            <w:tcW w:w="1275"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赵可心、李勇</w:t>
            </w:r>
          </w:p>
        </w:tc>
        <w:tc>
          <w:tcPr>
            <w:tcW w:w="2410"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1、安全防范实施是否达标；2、是否具有《特种行业许可证》；3、是否承接禁止典当的物品；4、承接典当的物品是否查验有关证明，是否履行登记手续</w:t>
            </w:r>
          </w:p>
        </w:tc>
        <w:tc>
          <w:tcPr>
            <w:tcW w:w="5103"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未发现有违法或违反规定的情况</w:t>
            </w:r>
          </w:p>
        </w:tc>
        <w:tc>
          <w:tcPr>
            <w:tcW w:w="1134" w:type="dxa"/>
            <w:tcBorders>
              <w:top w:val="single" w:color="auto" w:sz="4" w:space="0"/>
              <w:bottom w:val="single" w:color="auto" w:sz="4" w:space="0"/>
            </w:tcBorders>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55" w:hRule="atLeast"/>
        </w:trPr>
        <w:tc>
          <w:tcPr>
            <w:tcW w:w="837" w:type="dxa"/>
            <w:tcBorders>
              <w:top w:val="single" w:color="auto" w:sz="4" w:space="0"/>
              <w:bottom w:val="single" w:color="auto" w:sz="4" w:space="0"/>
            </w:tcBorders>
          </w:tcPr>
          <w:p>
            <w:pPr>
              <w:rPr>
                <w:sz w:val="28"/>
                <w:szCs w:val="28"/>
              </w:rPr>
            </w:pPr>
          </w:p>
        </w:tc>
        <w:tc>
          <w:tcPr>
            <w:tcW w:w="1432"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对旅馆业进行治安管理检查</w:t>
            </w:r>
          </w:p>
        </w:tc>
        <w:tc>
          <w:tcPr>
            <w:tcW w:w="1134"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市中区宜必思酒店</w:t>
            </w:r>
          </w:p>
        </w:tc>
        <w:tc>
          <w:tcPr>
            <w:tcW w:w="1418"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2019年10月15日</w:t>
            </w:r>
          </w:p>
        </w:tc>
        <w:tc>
          <w:tcPr>
            <w:tcW w:w="1275"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黄锦霞、宋超</w:t>
            </w:r>
          </w:p>
        </w:tc>
        <w:tc>
          <w:tcPr>
            <w:tcW w:w="2410"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1、开业、变更是否按规定到公安机关备案；2、法定代表人或者主要负责人履行治安、安全责任情况；3、设施、设备是否符合治安、安全防范有关规定及标准；4、治安、安全防范制度、措施建立和落实情况；5、治安管理信息系统应用情况；6、是否存在违法犯罪情况；7、提供住宿服务项目的场所住宿登记情况</w:t>
            </w:r>
          </w:p>
        </w:tc>
        <w:tc>
          <w:tcPr>
            <w:tcW w:w="5103" w:type="dxa"/>
            <w:tcBorders>
              <w:top w:val="single" w:color="auto" w:sz="4" w:space="0"/>
              <w:bottom w:val="single" w:color="auto" w:sz="4" w:space="0"/>
            </w:tcBorders>
          </w:tcPr>
          <w:p>
            <w:pPr>
              <w:rPr>
                <w:rFonts w:hint="eastAsia" w:ascii="仿宋_GB2312" w:eastAsia="仿宋_GB2312"/>
                <w:sz w:val="24"/>
                <w:szCs w:val="24"/>
              </w:rPr>
            </w:pPr>
            <w:r>
              <w:rPr>
                <w:rFonts w:hint="eastAsia" w:ascii="仿宋_GB2312" w:eastAsia="仿宋_GB2312"/>
                <w:sz w:val="24"/>
                <w:szCs w:val="24"/>
              </w:rPr>
              <w:t>治安、安全防范措施达标，未有违法情况</w:t>
            </w:r>
          </w:p>
        </w:tc>
        <w:tc>
          <w:tcPr>
            <w:tcW w:w="1134" w:type="dxa"/>
            <w:tcBorders>
              <w:top w:val="single" w:color="auto" w:sz="4" w:space="0"/>
              <w:bottom w:val="single" w:color="auto" w:sz="4" w:space="0"/>
            </w:tcBorders>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837" w:type="dxa"/>
            <w:tcBorders>
              <w:top w:val="single" w:color="auto" w:sz="4" w:space="0"/>
            </w:tcBorders>
          </w:tcPr>
          <w:p>
            <w:pPr>
              <w:rPr>
                <w:sz w:val="28"/>
                <w:szCs w:val="28"/>
              </w:rPr>
            </w:pPr>
          </w:p>
        </w:tc>
        <w:tc>
          <w:tcPr>
            <w:tcW w:w="1432"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对邮政企业、快递企业治安防范等工作进行检查</w:t>
            </w:r>
          </w:p>
        </w:tc>
        <w:tc>
          <w:tcPr>
            <w:tcW w:w="1134"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中通快递（乐山城区一部）</w:t>
            </w:r>
          </w:p>
        </w:tc>
        <w:tc>
          <w:tcPr>
            <w:tcW w:w="1418"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2019年9月26日</w:t>
            </w:r>
          </w:p>
        </w:tc>
        <w:tc>
          <w:tcPr>
            <w:tcW w:w="1275"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刘珍、刘建</w:t>
            </w:r>
          </w:p>
        </w:tc>
        <w:tc>
          <w:tcPr>
            <w:tcW w:w="2410"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1、是否建立并执行治安保卫制度；2、营业网点的治安保卫措施是否符合有关标准和规定；3、是否制定治安突发事件处置预案并组织演练；4、从业人员发现寄递枪支弹药、管制刀具和毒品、爆炸物品、危险化学品、放射性物品、传染性病原体等禁寄物品可疑情况线索是否立即报告公安机关</w:t>
            </w:r>
          </w:p>
        </w:tc>
        <w:tc>
          <w:tcPr>
            <w:tcW w:w="5103"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安保措施落实到位，未发现有违法情况</w:t>
            </w:r>
          </w:p>
        </w:tc>
        <w:tc>
          <w:tcPr>
            <w:tcW w:w="1134" w:type="dxa"/>
            <w:tcBorders>
              <w:top w:val="single" w:color="auto" w:sz="4" w:space="0"/>
            </w:tcBorders>
          </w:tcPr>
          <w:p>
            <w:pPr>
              <w:rPr>
                <w:sz w:val="28"/>
                <w:szCs w:val="28"/>
              </w:rPr>
            </w:pPr>
          </w:p>
        </w:tc>
      </w:tr>
    </w:tbl>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3"/>
        <w:tblW w:w="1474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7"/>
        <w:gridCol w:w="1106"/>
        <w:gridCol w:w="1460"/>
        <w:gridCol w:w="1418"/>
        <w:gridCol w:w="1275"/>
        <w:gridCol w:w="2410"/>
        <w:gridCol w:w="5103"/>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6" w:hRule="atLeast"/>
        </w:trPr>
        <w:tc>
          <w:tcPr>
            <w:tcW w:w="837" w:type="dxa"/>
            <w:tcBorders>
              <w:top w:val="single" w:color="auto" w:sz="4" w:space="0"/>
            </w:tcBorders>
          </w:tcPr>
          <w:p>
            <w:pPr>
              <w:rPr>
                <w:sz w:val="28"/>
                <w:szCs w:val="28"/>
              </w:rPr>
            </w:pPr>
          </w:p>
        </w:tc>
        <w:tc>
          <w:tcPr>
            <w:tcW w:w="1106"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对邮政企业、快递企业治安防范等工作进行检查</w:t>
            </w:r>
          </w:p>
          <w:p>
            <w:pPr>
              <w:rPr>
                <w:rFonts w:hint="eastAsia" w:ascii="仿宋_GB2312" w:eastAsia="仿宋_GB2312"/>
                <w:sz w:val="24"/>
                <w:szCs w:val="24"/>
              </w:rPr>
            </w:pPr>
          </w:p>
        </w:tc>
        <w:tc>
          <w:tcPr>
            <w:tcW w:w="1460" w:type="dxa"/>
            <w:tcBorders>
              <w:top w:val="single" w:color="auto" w:sz="4" w:space="0"/>
            </w:tcBorders>
          </w:tcPr>
          <w:p>
            <w:pPr>
              <w:rPr>
                <w:rFonts w:hint="eastAsia" w:ascii="仿宋_GB2312" w:hAnsi="Calibri" w:eastAsia="仿宋_GB2312" w:cs="Times New Roman"/>
                <w:sz w:val="24"/>
                <w:szCs w:val="24"/>
              </w:rPr>
            </w:pPr>
            <w:r>
              <w:rPr>
                <w:rFonts w:hint="eastAsia" w:ascii="仿宋_GB2312" w:hAnsi="Calibri" w:eastAsia="仿宋_GB2312" w:cs="Times New Roman"/>
                <w:sz w:val="24"/>
                <w:szCs w:val="24"/>
              </w:rPr>
              <w:t>顺丰速运（犍为县玉津镇营业点）</w:t>
            </w:r>
          </w:p>
        </w:tc>
        <w:tc>
          <w:tcPr>
            <w:tcW w:w="1418" w:type="dxa"/>
            <w:tcBorders>
              <w:top w:val="single" w:color="auto" w:sz="4" w:space="0"/>
            </w:tcBorders>
          </w:tcPr>
          <w:p>
            <w:pPr>
              <w:rPr>
                <w:rFonts w:hint="eastAsia"/>
              </w:rPr>
            </w:pPr>
            <w:r>
              <w:rPr>
                <w:rFonts w:hint="eastAsia"/>
              </w:rPr>
              <w:t>2019年5月8日</w:t>
            </w:r>
          </w:p>
        </w:tc>
        <w:tc>
          <w:tcPr>
            <w:tcW w:w="1275"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杨帆、田航</w:t>
            </w:r>
          </w:p>
        </w:tc>
        <w:tc>
          <w:tcPr>
            <w:tcW w:w="2410"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1、是否建立并执行治安保卫制度；2、营业网点的治安保卫措施是否符合有关标准和规定；3、是否制定治安突发事件处置预案并组织演练；4、从业人员发现寄递枪支弹药、管制刀具和毒品、爆炸物品、危险化学品、放射性物品、传染性病原体等禁寄物品可疑情况线索是否立即报告公安机关</w:t>
            </w:r>
          </w:p>
        </w:tc>
        <w:tc>
          <w:tcPr>
            <w:tcW w:w="5103" w:type="dxa"/>
            <w:tcBorders>
              <w:top w:val="single" w:color="auto" w:sz="4" w:space="0"/>
            </w:tcBorders>
          </w:tcPr>
          <w:p>
            <w:pPr>
              <w:rPr>
                <w:rFonts w:hint="eastAsia" w:ascii="仿宋_GB2312" w:eastAsia="仿宋_GB2312"/>
                <w:sz w:val="24"/>
                <w:szCs w:val="24"/>
              </w:rPr>
            </w:pPr>
            <w:r>
              <w:rPr>
                <w:rFonts w:hint="eastAsia" w:ascii="仿宋_GB2312" w:eastAsia="仿宋_GB2312"/>
                <w:sz w:val="24"/>
                <w:szCs w:val="24"/>
              </w:rPr>
              <w:t>安保措施落实到位，未发现有违法情况</w:t>
            </w:r>
          </w:p>
        </w:tc>
        <w:tc>
          <w:tcPr>
            <w:tcW w:w="1134" w:type="dxa"/>
            <w:tcBorders>
              <w:top w:val="single" w:color="auto" w:sz="4" w:space="0"/>
            </w:tcBorders>
          </w:tcPr>
          <w:p>
            <w:pPr>
              <w:rPr>
                <w:sz w:val="28"/>
                <w:szCs w:val="2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6CBB"/>
    <w:rsid w:val="00065036"/>
    <w:rsid w:val="000A6B23"/>
    <w:rsid w:val="002444B2"/>
    <w:rsid w:val="002464D7"/>
    <w:rsid w:val="002A3733"/>
    <w:rsid w:val="002E01DB"/>
    <w:rsid w:val="00313389"/>
    <w:rsid w:val="0032126A"/>
    <w:rsid w:val="00343881"/>
    <w:rsid w:val="00412F92"/>
    <w:rsid w:val="004A6A35"/>
    <w:rsid w:val="005251C8"/>
    <w:rsid w:val="005409B3"/>
    <w:rsid w:val="00776CBB"/>
    <w:rsid w:val="00831F15"/>
    <w:rsid w:val="00953DA2"/>
    <w:rsid w:val="00A05009"/>
    <w:rsid w:val="00A63F74"/>
    <w:rsid w:val="00AB7067"/>
    <w:rsid w:val="00B0003A"/>
    <w:rsid w:val="00B15089"/>
    <w:rsid w:val="00B60D0E"/>
    <w:rsid w:val="00B86F8C"/>
    <w:rsid w:val="00C30ED9"/>
    <w:rsid w:val="00C73369"/>
    <w:rsid w:val="00CE432E"/>
    <w:rsid w:val="00D41D56"/>
    <w:rsid w:val="00D46591"/>
    <w:rsid w:val="00D953C1"/>
    <w:rsid w:val="00DB03F1"/>
    <w:rsid w:val="00E2251B"/>
    <w:rsid w:val="3C7E454B"/>
    <w:rsid w:val="5B200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
    <w:name w:val="style71"/>
    <w:basedOn w:val="4"/>
    <w:uiPriority w:val="0"/>
    <w:rPr>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9</Pages>
  <Words>440</Words>
  <Characters>2509</Characters>
  <Lines>20</Lines>
  <Paragraphs>5</Paragraphs>
  <TotalTime>96</TotalTime>
  <ScaleCrop>false</ScaleCrop>
  <LinksUpToDate>false</LinksUpToDate>
  <CharactersWithSpaces>2944</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2020-01-13T08:03:00Z</dcterms:created>
  <dc:creator>Microsoft</dc:creator>
  <cp:lastModifiedBy>Administrator</cp:lastModifiedBy>
  <dcterms:modified xsi:type="dcterms:W3CDTF">2020-01-14T09:23:37Z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